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sz w:val="24"/>
        </w:rPr>
      </w:pPr>
    </w:p>
    <w:p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iCs/>
          <w:sz w:val="22"/>
          <w:szCs w:val="22"/>
        </w:rPr>
      </w:pPr>
      <w:r>
        <w:rPr>
          <w:b/>
          <w:bCs/>
          <w:iCs/>
          <w:sz w:val="22"/>
          <w:szCs w:val="22"/>
        </w:rPr>
        <w:t>OBRAZAC 4 - IZJAVA PONUĐAČA O ISPUNJENJU OBAVEZNIH USLOVA</w:t>
      </w:r>
    </w:p>
    <w:p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sz w:val="22"/>
          <w:szCs w:val="22"/>
        </w:rPr>
      </w:pPr>
    </w:p>
    <w:p>
      <w:pPr>
        <w:autoSpaceDE w:val="0"/>
        <w:autoSpaceDN w:val="0"/>
        <w:adjustRightInd w:val="0"/>
        <w:rPr>
          <w:rFonts w:eastAsia="Times New Roman" w:cs="Times New Roman"/>
          <w:bCs/>
          <w:iCs/>
          <w:sz w:val="22"/>
          <w:szCs w:val="22"/>
        </w:rPr>
      </w:pPr>
      <w:r>
        <w:rPr>
          <w:rFonts w:eastAsia="Times New Roman" w:cs="Times New Roman"/>
          <w:bCs/>
          <w:iCs/>
          <w:sz w:val="22"/>
          <w:szCs w:val="22"/>
        </w:rPr>
        <w:t>Pod punom materijalnom i krivičnom odgovornošću, kao zastupnik ponuđača, dajem sledeću</w:t>
      </w:r>
    </w:p>
    <w:p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sz w:val="22"/>
          <w:szCs w:val="22"/>
        </w:rPr>
      </w:pPr>
    </w:p>
    <w:p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iCs/>
          <w:sz w:val="22"/>
          <w:szCs w:val="22"/>
        </w:rPr>
      </w:pPr>
      <w:r>
        <w:rPr>
          <w:rFonts w:eastAsia="Times New Roman" w:cs="Times New Roman"/>
          <w:b/>
          <w:bCs/>
          <w:iCs/>
          <w:sz w:val="22"/>
          <w:szCs w:val="22"/>
        </w:rPr>
        <w:t>I Z J A V U</w:t>
      </w:r>
    </w:p>
    <w:p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sz w:val="22"/>
          <w:szCs w:val="22"/>
        </w:rPr>
      </w:pPr>
    </w:p>
    <w:p>
      <w:pPr>
        <w:autoSpaceDE w:val="0"/>
        <w:autoSpaceDN w:val="0"/>
        <w:adjustRightInd w:val="0"/>
        <w:rPr>
          <w:rFonts w:eastAsia="Times New Roman" w:cs="Times New Roman"/>
          <w:bCs/>
          <w:iCs/>
          <w:sz w:val="22"/>
          <w:szCs w:val="22"/>
        </w:rPr>
      </w:pPr>
      <w:r>
        <w:rPr>
          <w:rFonts w:eastAsia="Times New Roman" w:cs="Times New Roman"/>
          <w:bCs/>
          <w:iCs/>
          <w:sz w:val="22"/>
          <w:szCs w:val="22"/>
        </w:rPr>
        <w:t>Ponuđač</w:t>
      </w:r>
      <w:r>
        <w:rPr>
          <w:rFonts w:eastAsia="Times New Roman" w:cs="Times New Roman"/>
          <w:bCs/>
          <w:i/>
          <w:iCs/>
          <w:sz w:val="22"/>
          <w:szCs w:val="22"/>
        </w:rPr>
        <w:t>_____________________________________</w:t>
      </w:r>
      <w:r>
        <w:rPr>
          <w:rFonts w:eastAsia="Times New Roman" w:cs="Times New Roman"/>
          <w:bCs/>
          <w:iCs/>
          <w:sz w:val="22"/>
          <w:szCs w:val="22"/>
        </w:rPr>
        <w:t>_______</w:t>
      </w:r>
      <w:r>
        <w:rPr>
          <w:rFonts w:eastAsia="Times New Roman" w:cs="Times New Roman"/>
          <w:bCs/>
          <w:i/>
          <w:iCs/>
          <w:sz w:val="22"/>
          <w:szCs w:val="22"/>
        </w:rPr>
        <w:t xml:space="preserve">[navesti naziv ponuđača] </w:t>
      </w:r>
      <w:r>
        <w:rPr>
          <w:rFonts w:eastAsia="Times New Roman" w:cs="Times New Roman"/>
          <w:bCs/>
          <w:iCs/>
          <w:sz w:val="22"/>
          <w:szCs w:val="22"/>
        </w:rPr>
        <w:t xml:space="preserve">u </w:t>
      </w:r>
      <w:r>
        <w:rPr>
          <w:rFonts w:eastAsia="Times New Roman" w:cs="Times New Roman"/>
          <w:bCs/>
          <w:iCs/>
          <w:sz w:val="22"/>
          <w:szCs w:val="22"/>
          <w:lang w:val="sr-Latn-RS"/>
        </w:rPr>
        <w:t xml:space="preserve">otvorenom (pojednostavljenom) </w:t>
      </w:r>
      <w:r>
        <w:rPr>
          <w:rFonts w:eastAsia="Times New Roman" w:cs="Times New Roman"/>
          <w:bCs/>
          <w:iCs/>
          <w:sz w:val="22"/>
          <w:szCs w:val="22"/>
        </w:rPr>
        <w:t>postupku</w:t>
      </w:r>
      <w:r>
        <w:rPr>
          <w:rFonts w:eastAsia="Times New Roman" w:cs="Times New Roman"/>
          <w:bCs/>
          <w:iCs/>
          <w:sz w:val="22"/>
          <w:szCs w:val="22"/>
          <w:lang w:val="sr-Latn-RS"/>
        </w:rPr>
        <w:t xml:space="preserve"> </w:t>
      </w:r>
      <w:r>
        <w:rPr>
          <w:rFonts w:eastAsia="Times New Roman" w:cs="Times New Roman"/>
          <w:bCs/>
          <w:iCs/>
          <w:sz w:val="22"/>
          <w:szCs w:val="22"/>
        </w:rPr>
        <w:t xml:space="preserve">– </w:t>
      </w:r>
      <w:r>
        <w:rPr>
          <w:rFonts w:eastAsia="Times New Roman" w:cs="Times New Roman"/>
          <w:bCs/>
          <w:iCs/>
          <w:sz w:val="22"/>
          <w:szCs w:val="22"/>
          <w:lang w:val="en-US"/>
        </w:rPr>
        <w:t xml:space="preserve">Nabavke </w:t>
      </w:r>
      <w:r>
        <w:rPr>
          <w:bCs/>
          <w:iCs/>
          <w:sz w:val="22"/>
          <w:szCs w:val="22"/>
          <w:lang w:val="sr-Latn-CS"/>
        </w:rPr>
        <w:t>građevinskog materijala, nameštaja i električnih uređaja za seoska domaćinstva</w:t>
      </w:r>
      <w:r>
        <w:rPr>
          <w:sz w:val="22"/>
          <w:szCs w:val="22"/>
        </w:rPr>
        <w:t>,</w:t>
      </w:r>
      <w:r>
        <w:rPr>
          <w:b/>
          <w:sz w:val="22"/>
          <w:szCs w:val="22"/>
          <w:lang w:val="uz-Cyrl-UZ"/>
        </w:rPr>
        <w:t xml:space="preserve"> </w:t>
      </w:r>
      <w:r>
        <w:rPr>
          <w:rFonts w:ascii="Times New Roman" w:hAnsi="Times New Roman" w:eastAsia="Times New Roman"/>
          <w:b/>
          <w:snapToGrid w:val="0"/>
          <w:sz w:val="24"/>
          <w:szCs w:val="24"/>
          <w:lang w:val="sr-Latn-CS" w:eastAsia="en-GB" w:bidi="ar-SA"/>
        </w:rPr>
        <w:t>RHP-W</w:t>
      </w:r>
      <w:r>
        <w:rPr>
          <w:rFonts w:ascii="Times New Roman" w:hAnsi="Times New Roman" w:eastAsia="Times New Roman"/>
          <w:b/>
          <w:snapToGrid w:val="0"/>
          <w:sz w:val="24"/>
          <w:szCs w:val="24"/>
          <w:lang w:val="sr-Cyrl-RS" w:eastAsia="en-GB" w:bidi="ar-SA"/>
        </w:rPr>
        <w:t>9-404-32/2022-</w:t>
      </w:r>
      <w:r>
        <w:rPr>
          <w:rFonts w:ascii="Times New Roman" w:hAnsi="Times New Roman" w:eastAsia="Times New Roman"/>
          <w:b/>
          <w:snapToGrid w:val="0"/>
          <w:sz w:val="24"/>
          <w:szCs w:val="24"/>
          <w:lang w:val="sr-Latn-RS" w:eastAsia="en-GB" w:bidi="ar-SA"/>
        </w:rPr>
        <w:t>II</w:t>
      </w:r>
      <w:bookmarkStart w:id="0" w:name="_GoBack"/>
      <w:bookmarkEnd w:id="0"/>
      <w:r>
        <w:rPr>
          <w:rFonts w:eastAsia="Times New Roman" w:cs="Times New Roman"/>
          <w:bCs/>
          <w:iCs/>
          <w:sz w:val="22"/>
          <w:szCs w:val="22"/>
        </w:rPr>
        <w:t>, ispunjava OBAVEZNE uslove definisane konkursnom dokumentacijom za predmetnu nabavku, i to:</w:t>
      </w:r>
    </w:p>
    <w:p>
      <w:pPr>
        <w:pStyle w:val="17"/>
        <w:numPr>
          <w:ilvl w:val="0"/>
          <w:numId w:val="2"/>
        </w:numPr>
        <w:autoSpaceDE w:val="0"/>
        <w:autoSpaceDN w:val="0"/>
        <w:adjustRightInd w:val="0"/>
        <w:spacing w:after="240"/>
        <w:ind w:left="426" w:hanging="426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>Da je registrovan kod nadležnog organa;</w:t>
      </w:r>
    </w:p>
    <w:p>
      <w:pPr>
        <w:pStyle w:val="17"/>
        <w:numPr>
          <w:ilvl w:val="0"/>
          <w:numId w:val="2"/>
        </w:numPr>
        <w:autoSpaceDE w:val="0"/>
        <w:autoSpaceDN w:val="0"/>
        <w:adjustRightInd w:val="0"/>
        <w:spacing w:after="240"/>
        <w:ind w:left="426" w:hanging="426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>Da privredni subjekt i njegov zakonski zastupnik u periodu od prethodnih pet godina od dana isteka roka za podnošenje ponuda nije pravnosnažno osuđen, osim ako pravnosnažnom presudom nije utvrđen drugi period zabrane učešća u postupku javne nabavke, za:</w:t>
      </w:r>
    </w:p>
    <w:p>
      <w:pPr>
        <w:pStyle w:val="17"/>
        <w:numPr>
          <w:ilvl w:val="0"/>
          <w:numId w:val="2"/>
        </w:numPr>
        <w:autoSpaceDE w:val="0"/>
        <w:autoSpaceDN w:val="0"/>
        <w:adjustRightInd w:val="0"/>
        <w:spacing w:after="240"/>
        <w:ind w:left="426" w:hanging="426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 xml:space="preserve">krivično delo kao član organizovane kriminalne grupe i krivično delo udruživanje radi vršenja krivičnih dela; </w:t>
      </w:r>
    </w:p>
    <w:p>
      <w:pPr>
        <w:pStyle w:val="17"/>
        <w:numPr>
          <w:ilvl w:val="0"/>
          <w:numId w:val="2"/>
        </w:numPr>
        <w:autoSpaceDE w:val="0"/>
        <w:autoSpaceDN w:val="0"/>
        <w:adjustRightInd w:val="0"/>
        <w:spacing w:after="240"/>
        <w:ind w:left="426" w:hanging="426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 xml:space="preserve">krivično delo zloupotrebe položaja odgovornog lica, krivično delo zloupotrebe u vezi sa javnom nabavkom, krivično delo primanja mita u obavljanju privredne delatnosti, krivično delo davanja mita u obavljanju privredne delatnosti, krivično delo zloupotrebe službenog položaja, krivično delo trgovine uticajem, krivično delo primanja mita i krivično delo davanja mita, krivično delo prevare, krivično delo neosnovanog dobijanja i korišćenja kredita i druge pogodnosti, krivično delo prevare u obavljanju privredne delatnosti i krivično delo poreske utaje, krivično delo terorizma, krivično delo javnog podsticanja na izvršenje terorističkih dela, krivično delo vrbovanja i obučavanja za vršenje terorističkih dela i krivično delo terorističkog udruživanja, krivično delo pranja novca, krivično delo finansiranja terorizma, krivično delo trgovine ljudima i krivično delo zasnivanja ropskog odnosa i prevoza lica u ropskom odnosu; </w:t>
      </w:r>
    </w:p>
    <w:p>
      <w:pPr>
        <w:pStyle w:val="17"/>
        <w:numPr>
          <w:ilvl w:val="0"/>
          <w:numId w:val="2"/>
        </w:numPr>
        <w:autoSpaceDE w:val="0"/>
        <w:autoSpaceDN w:val="0"/>
        <w:adjustRightInd w:val="0"/>
        <w:spacing w:after="240"/>
        <w:ind w:left="426" w:hanging="426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 xml:space="preserve">Da je privredni subjekt izmirio dospele poreze i doprinose za obavezno socijalno osiguranje ili da mu je obavezujućim sporazumom ili rešenjem, u skladu sa posebnim propisom, odobreno odlaganje plaćanja duga, uključujući sve nastale kamate i novčane kazne; </w:t>
      </w:r>
    </w:p>
    <w:p>
      <w:pPr>
        <w:pStyle w:val="17"/>
        <w:numPr>
          <w:ilvl w:val="0"/>
          <w:numId w:val="2"/>
        </w:numPr>
        <w:autoSpaceDE w:val="0"/>
        <w:autoSpaceDN w:val="0"/>
        <w:adjustRightInd w:val="0"/>
        <w:spacing w:after="240"/>
        <w:ind w:left="426" w:hanging="426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 xml:space="preserve">Da ne postoji sukob interesa, u smislu ovog zakona, koji ne može da se otkloni drugim merama; </w:t>
      </w:r>
    </w:p>
    <w:p>
      <w:pPr>
        <w:pStyle w:val="17"/>
        <w:numPr>
          <w:ilvl w:val="0"/>
          <w:numId w:val="2"/>
        </w:numPr>
        <w:autoSpaceDE w:val="0"/>
        <w:autoSpaceDN w:val="0"/>
        <w:adjustRightInd w:val="0"/>
        <w:spacing w:after="240"/>
        <w:ind w:left="426" w:hanging="426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>Da privredni subjekt nije pokušao da izvrši neprimeren uticaj na postupak odlučivanja naručioca ili da dođe do poverljivih podataka koji bi mogli da mu omoguće prednost u postupku javne nabavke ili nije dostavio obmanjujuće podatke koji mogu da utiču na odluke koje se tiču isključenja privrednog subjekta, izbora privrednog subjekta ili dodele ugovora;</w:t>
      </w:r>
    </w:p>
    <w:p>
      <w:pPr>
        <w:pStyle w:val="17"/>
        <w:autoSpaceDE w:val="0"/>
        <w:autoSpaceDN w:val="0"/>
        <w:adjustRightInd w:val="0"/>
        <w:ind w:left="426"/>
        <w:rPr>
          <w:bCs/>
          <w:iCs/>
          <w:sz w:val="22"/>
          <w:szCs w:val="22"/>
        </w:rPr>
      </w:pPr>
    </w:p>
    <w:p>
      <w:pPr>
        <w:autoSpaceDE w:val="0"/>
        <w:autoSpaceDN w:val="0"/>
        <w:adjustRightInd w:val="0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>kao i uslov finansijskog kapaciteta, definisan konkursnom dokumentacijom za predmetnu nabavku, i to:</w:t>
      </w:r>
    </w:p>
    <w:p>
      <w:pPr>
        <w:pStyle w:val="17"/>
        <w:numPr>
          <w:ilvl w:val="0"/>
          <w:numId w:val="2"/>
        </w:numPr>
        <w:autoSpaceDE w:val="0"/>
        <w:autoSpaceDN w:val="0"/>
        <w:adjustRightInd w:val="0"/>
        <w:spacing w:after="240"/>
        <w:ind w:left="426" w:hanging="426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>Da ponuđač nije imao registrovane blokade računa u poslednjih dvanaest (12) meseci do dana objavljivanja  javnog poziva;</w:t>
      </w:r>
    </w:p>
    <w:p>
      <w:pPr>
        <w:pStyle w:val="17"/>
        <w:numPr>
          <w:ilvl w:val="0"/>
          <w:numId w:val="2"/>
        </w:numPr>
        <w:autoSpaceDE w:val="0"/>
        <w:autoSpaceDN w:val="0"/>
        <w:adjustRightInd w:val="0"/>
        <w:spacing w:after="240"/>
        <w:ind w:left="426" w:hanging="426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>Da nad Ponuđačem nije pokrenut postupak stečaja ili likvidacije, odnosno prethodni stečajni postupak.</w:t>
      </w:r>
    </w:p>
    <w:tbl>
      <w:tblPr>
        <w:tblStyle w:val="16"/>
        <w:tblW w:w="924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0"/>
        <w:gridCol w:w="3068"/>
        <w:gridCol w:w="309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0" w:type="dxa"/>
            <w:shd w:val="clear" w:color="auto" w:fill="auto"/>
            <w:vAlign w:val="center"/>
          </w:tcPr>
          <w:p>
            <w:pPr>
              <w:suppressAutoHyphens/>
              <w:spacing w:after="120" w:line="100" w:lineRule="atLeast"/>
              <w:jc w:val="center"/>
              <w:rPr>
                <w:rFonts w:eastAsia="Arial Unicode MS"/>
                <w:color w:val="000000"/>
                <w:kern w:val="1"/>
                <w:sz w:val="22"/>
                <w:szCs w:val="22"/>
                <w:lang w:eastAsia="ar-SA"/>
              </w:rPr>
            </w:pPr>
            <w:r>
              <w:rPr>
                <w:rFonts w:eastAsia="Arial Unicode MS"/>
                <w:color w:val="000000"/>
                <w:kern w:val="1"/>
                <w:sz w:val="22"/>
                <w:szCs w:val="22"/>
                <w:lang w:eastAsia="ar-SA"/>
              </w:rPr>
              <w:t>Mesto:</w:t>
            </w:r>
          </w:p>
          <w:p>
            <w:pPr>
              <w:suppressAutoHyphens/>
              <w:spacing w:after="120" w:line="100" w:lineRule="atLeast"/>
              <w:jc w:val="center"/>
              <w:rPr>
                <w:rFonts w:eastAsia="Arial Unicode MS"/>
                <w:color w:val="000000"/>
                <w:kern w:val="1"/>
                <w:sz w:val="22"/>
                <w:szCs w:val="22"/>
                <w:lang w:eastAsia="ar-SA"/>
              </w:rPr>
            </w:pPr>
            <w:r>
              <w:rPr>
                <w:rFonts w:eastAsia="Arial Unicode MS"/>
                <w:color w:val="000000"/>
                <w:kern w:val="1"/>
                <w:sz w:val="22"/>
                <w:szCs w:val="22"/>
                <w:lang w:eastAsia="ar-SA"/>
              </w:rPr>
              <w:t>Datum:</w:t>
            </w:r>
          </w:p>
        </w:tc>
        <w:tc>
          <w:tcPr>
            <w:tcW w:w="3068" w:type="dxa"/>
            <w:shd w:val="clear" w:color="auto" w:fill="auto"/>
            <w:vAlign w:val="center"/>
          </w:tcPr>
          <w:p>
            <w:pPr>
              <w:suppressAutoHyphens/>
              <w:spacing w:after="120" w:line="100" w:lineRule="atLeast"/>
              <w:jc w:val="center"/>
              <w:rPr>
                <w:rFonts w:eastAsia="Arial Unicode MS"/>
                <w:color w:val="000000"/>
                <w:kern w:val="1"/>
                <w:sz w:val="22"/>
                <w:szCs w:val="22"/>
                <w:lang w:eastAsia="ar-SA"/>
              </w:rPr>
            </w:pPr>
            <w:r>
              <w:rPr>
                <w:rFonts w:eastAsia="Arial Unicode MS"/>
                <w:color w:val="000000"/>
                <w:kern w:val="1"/>
                <w:sz w:val="22"/>
                <w:szCs w:val="22"/>
                <w:lang w:eastAsia="ar-SA"/>
              </w:rPr>
              <w:t>M.P.</w:t>
            </w:r>
          </w:p>
        </w:tc>
        <w:tc>
          <w:tcPr>
            <w:tcW w:w="3094" w:type="dxa"/>
            <w:shd w:val="clear" w:color="auto" w:fill="auto"/>
            <w:vAlign w:val="center"/>
          </w:tcPr>
          <w:p>
            <w:pPr>
              <w:suppressAutoHyphens/>
              <w:spacing w:after="120" w:line="100" w:lineRule="atLeast"/>
              <w:jc w:val="center"/>
              <w:rPr>
                <w:rFonts w:eastAsia="Arial Unicode MS"/>
                <w:color w:val="000000"/>
                <w:kern w:val="1"/>
                <w:sz w:val="22"/>
                <w:szCs w:val="22"/>
                <w:lang w:eastAsia="ar-SA"/>
              </w:rPr>
            </w:pPr>
            <w:r>
              <w:rPr>
                <w:rFonts w:eastAsia="Arial Unicode MS"/>
                <w:color w:val="000000"/>
                <w:kern w:val="1"/>
                <w:sz w:val="22"/>
                <w:szCs w:val="22"/>
                <w:lang w:eastAsia="ar-SA"/>
              </w:rPr>
              <w:t>Potpis ovlašćenog lica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0" w:type="dxa"/>
            <w:tcBorders>
              <w:bottom w:val="single" w:color="000000" w:sz="4" w:space="0"/>
            </w:tcBorders>
            <w:shd w:val="clear" w:color="auto" w:fill="auto"/>
          </w:tcPr>
          <w:p>
            <w:pPr>
              <w:suppressAutoHyphens/>
              <w:snapToGrid w:val="0"/>
              <w:spacing w:after="120" w:line="100" w:lineRule="atLeast"/>
              <w:rPr>
                <w:rFonts w:eastAsia="Arial Unicode MS"/>
                <w:color w:val="000000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3068" w:type="dxa"/>
            <w:shd w:val="clear" w:color="auto" w:fill="auto"/>
          </w:tcPr>
          <w:p>
            <w:pPr>
              <w:suppressAutoHyphens/>
              <w:snapToGrid w:val="0"/>
              <w:spacing w:after="120" w:line="100" w:lineRule="atLeast"/>
              <w:rPr>
                <w:rFonts w:eastAsia="Arial Unicode MS"/>
                <w:color w:val="000000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3094" w:type="dxa"/>
            <w:tcBorders>
              <w:bottom w:val="single" w:color="000000" w:sz="4" w:space="0"/>
            </w:tcBorders>
            <w:shd w:val="clear" w:color="auto" w:fill="auto"/>
          </w:tcPr>
          <w:p>
            <w:pPr>
              <w:suppressAutoHyphens/>
              <w:snapToGrid w:val="0"/>
              <w:spacing w:after="120" w:line="100" w:lineRule="atLeast"/>
              <w:rPr>
                <w:rFonts w:eastAsia="Arial Unicode MS"/>
                <w:color w:val="000000"/>
                <w:kern w:val="1"/>
                <w:sz w:val="22"/>
                <w:szCs w:val="22"/>
                <w:lang w:eastAsia="ar-SA"/>
              </w:rPr>
            </w:pPr>
          </w:p>
        </w:tc>
      </w:tr>
    </w:tbl>
    <w:p>
      <w:pPr>
        <w:rPr>
          <w:iCs/>
          <w:sz w:val="22"/>
          <w:szCs w:val="22"/>
        </w:rPr>
      </w:pPr>
    </w:p>
    <w:p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sz w:val="24"/>
        </w:rPr>
      </w:pPr>
      <w:r>
        <w:rPr>
          <w:rFonts w:eastAsia="Times New Roman" w:cs="Times New Roman"/>
          <w:b/>
          <w:bCs/>
          <w:i/>
          <w:iCs/>
          <w:sz w:val="24"/>
        </w:rPr>
        <w:t xml:space="preserve">Napomena: </w:t>
      </w:r>
      <w:r>
        <w:rPr>
          <w:rFonts w:eastAsia="Times New Roman" w:cs="Times New Roman"/>
          <w:b/>
          <w:bCs/>
          <w:i/>
          <w:iCs/>
          <w:sz w:val="24"/>
          <w:u w:val="single"/>
        </w:rPr>
        <w:t>Ukoliko ponudu podnosi grupa ponuđača,</w:t>
      </w:r>
      <w:r>
        <w:rPr>
          <w:rFonts w:eastAsia="Times New Roman" w:cs="Times New Roman"/>
          <w:b/>
          <w:bCs/>
          <w:i/>
          <w:iCs/>
          <w:sz w:val="24"/>
        </w:rPr>
        <w:t xml:space="preserve"> Izjava mora biti potpisana od strane ovlašćenog lica svakog ponuđača iz grupe ponuđača.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2240" w:h="15840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86"/>
    <w:family w:val="decorative"/>
    <w:pitch w:val="default"/>
    <w:sig w:usb0="E4002EFF" w:usb1="C000247B" w:usb2="00000009" w:usb3="00000000" w:csb0="200001F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swiss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decorative"/>
    <w:pitch w:val="default"/>
    <w:sig w:usb0="00000000" w:usb1="00000000" w:usb2="0000003F" w:usb3="00000000" w:csb0="003F01F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decorative"/>
    <w:pitch w:val="default"/>
    <w:sig w:usb0="E0002EFF" w:usb1="C000785B" w:usb2="00000009" w:usb3="00000000" w:csb0="400001FF" w:csb1="FFFF0000"/>
  </w:font>
  <w:font w:name="Cambria">
    <w:panose1 w:val="02040503050406030204"/>
    <w:charset w:val="00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roman"/>
    <w:pitch w:val="default"/>
    <w:sig w:usb0="E4002EFF" w:usb1="C000247B" w:usb2="00000009" w:usb3="00000000" w:csb0="200001FF" w:csb1="00000000"/>
  </w:font>
  <w:font w:name="Calibri">
    <w:panose1 w:val="020F0502020204030204"/>
    <w:charset w:val="EE"/>
    <w:family w:val="decorative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Arial">
    <w:panose1 w:val="020B0604020202020204"/>
    <w:charset w:val="EE"/>
    <w:family w:val="decorative"/>
    <w:pitch w:val="default"/>
    <w:sig w:usb0="E0002EFF" w:usb1="C000785B" w:usb2="00000009" w:usb3="00000000" w:csb0="400001FF" w:csb1="FFFF0000"/>
  </w:font>
  <w:font w:name="Lucida Grande CY">
    <w:altName w:val="Arial"/>
    <w:panose1 w:val="020B0604020202020204"/>
    <w:charset w:val="59"/>
    <w:family w:val="auto"/>
    <w:pitch w:val="default"/>
    <w:sig w:usb0="00000000" w:usb1="00000000" w:usb2="00000000" w:usb3="00000000" w:csb0="000001BF" w:csb1="00000000"/>
  </w:font>
  <w:font w:name="Arial">
    <w:panose1 w:val="020B0604020202020204"/>
    <w:charset w:val="00"/>
    <w:family w:val="roman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decorative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decorative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modern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roma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swiss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modern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  <w:font w:name="Roboto">
    <w:altName w:val="Times New Roman"/>
    <w:panose1 w:val="020B0604020202020204"/>
    <w:charset w:val="EE"/>
    <w:family w:val="auto"/>
    <w:pitch w:val="default"/>
    <w:sig w:usb0="00000000" w:usb1="00000000" w:usb2="00000020" w:usb3="00000000" w:csb0="0000019F" w:csb1="00000000"/>
  </w:font>
  <w:font w:name="Arial Unicode MS">
    <w:altName w:val="Arial"/>
    <w:panose1 w:val="020B0604020202020204"/>
    <w:charset w:val="80"/>
    <w:family w:val="modern"/>
    <w:pitch w:val="default"/>
    <w:sig w:usb0="00000000" w:usb1="00000000" w:usb2="0000003F" w:usb3="00000000" w:csb0="003F01FF" w:csb1="00000000"/>
  </w:font>
  <w:font w:name="WenQuanYi Micro Hei">
    <w:altName w:val="Times New Roman"/>
    <w:panose1 w:val="020B0604020202020204"/>
    <w:charset w:val="00"/>
    <w:family w:val="decorative"/>
    <w:pitch w:val="default"/>
    <w:sig w:usb0="00000000" w:usb1="00000000" w:usb2="00000000" w:usb3="00000000" w:csb0="00000000" w:csb1="00000000"/>
  </w:font>
  <w:font w:name="Arial">
    <w:panose1 w:val="020B0604020202020204"/>
    <w:charset w:val="80"/>
    <w:family w:val="modern"/>
    <w:pitch w:val="default"/>
    <w:sig w:usb0="E0002EFF" w:usb1="C000785B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ohit Hindi">
    <w:altName w:val="Times New Roman"/>
    <w:panose1 w:val="020B0604020202020204"/>
    <w:charset w:val="00"/>
    <w:family w:val="decorative"/>
    <w:pitch w:val="default"/>
    <w:sig w:usb0="00000000" w:usb1="00000000" w:usb2="00000000" w:usb3="00000000" w:csb0="00040001" w:csb1="00000000"/>
  </w:font>
  <w:font w:name="Liberation Sans">
    <w:altName w:val="Arial"/>
    <w:panose1 w:val="020B0604020202020204"/>
    <w:charset w:val="EE"/>
    <w:family w:val="modern"/>
    <w:pitch w:val="default"/>
    <w:sig w:usb0="00000000" w:usb1="00000000" w:usb2="00000021" w:usb3="00000000" w:csb0="000001B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WenQuanYi Micro Hei">
    <w:altName w:val="Times New Roman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80"/>
    <w:family w:val="swiss"/>
    <w:pitch w:val="default"/>
    <w:sig w:usb0="E0002EFF" w:usb1="C000785B" w:usb2="00000009" w:usb3="00000000" w:csb0="400001FF" w:csb1="FFFF0000"/>
  </w:font>
  <w:font w:name="Lohit Hindi">
    <w:altName w:val="Times New Roman"/>
    <w:panose1 w:val="020B0604020202020204"/>
    <w:charset w:val="00"/>
    <w:family w:val="roman"/>
    <w:pitch w:val="default"/>
    <w:sig w:usb0="00000000" w:usb1="00000000" w:usb2="00000000" w:usb3="00000000" w:csb0="00040001" w:csb1="00000000"/>
  </w:font>
  <w:font w:name="Liberation Sans">
    <w:altName w:val="Arial"/>
    <w:panose1 w:val="020B0604020202020204"/>
    <w:charset w:val="EE"/>
    <w:family w:val="swiss"/>
    <w:pitch w:val="default"/>
    <w:sig w:usb0="00000000" w:usb1="00000000" w:usb2="00000021" w:usb3="00000000" w:csb0="000001BF" w:csb1="00000000"/>
  </w:font>
  <w:font w:name="Arial">
    <w:panose1 w:val="020B0604020202020204"/>
    <w:charset w:val="EE"/>
    <w:family w:val="modern"/>
    <w:pitch w:val="default"/>
    <w:sig w:usb0="E0002EFF" w:usb1="C000785B" w:usb2="00000009" w:usb3="00000000" w:csb0="400001FF" w:csb1="FFFF0000"/>
  </w:font>
  <w:font w:name="WenQuanYi Micro Hei">
    <w:altName w:val="Times New Roman"/>
    <w:panose1 w:val="020B0604020202020204"/>
    <w:charset w:val="00"/>
    <w:family w:val="modern"/>
    <w:pitch w:val="default"/>
    <w:sig w:usb0="00000000" w:usb1="00000000" w:usb2="00000000" w:usb3="00000000" w:csb0="00000000" w:csb1="00000000"/>
  </w:font>
  <w:font w:name="Arial">
    <w:panose1 w:val="020B0604020202020204"/>
    <w:charset w:val="80"/>
    <w:family w:val="decorative"/>
    <w:pitch w:val="default"/>
    <w:sig w:usb0="E0002EFF" w:usb1="C000785B" w:usb2="00000009" w:usb3="00000000" w:csb0="400001FF" w:csb1="FFFF0000"/>
  </w:font>
  <w:font w:name="Lohit Hindi">
    <w:altName w:val="Times New Roman"/>
    <w:panose1 w:val="020B0604020202020204"/>
    <w:charset w:val="00"/>
    <w:family w:val="modern"/>
    <w:pitch w:val="default"/>
    <w:sig w:usb0="00000000" w:usb1="00000000" w:usb2="00000000" w:usb3="00000000" w:csb0="00040001" w:csb1="00000000"/>
  </w:font>
  <w:font w:name="Liberation Sans">
    <w:altName w:val="Arial"/>
    <w:panose1 w:val="020B0604020202020204"/>
    <w:charset w:val="EE"/>
    <w:family w:val="decorative"/>
    <w:pitch w:val="default"/>
    <w:sig w:usb0="00000000" w:usb1="00000000" w:usb2="00000021" w:usb3="00000000" w:csb0="000001BF" w:csb1="00000000"/>
  </w:font>
  <w:font w:name="Arial">
    <w:panose1 w:val="020B0604020202020204"/>
    <w:charset w:val="EE"/>
    <w:family w:val="swiss"/>
    <w:pitch w:val="default"/>
    <w:sig w:usb0="E0002EFF" w:usb1="C000785B" w:usb2="00000009" w:usb3="00000000" w:csb0="400001FF" w:csb1="FFFF0000"/>
  </w:font>
  <w:font w:name="Wingdings">
    <w:panose1 w:val="05000000000000000000"/>
    <w:charset w:val="02"/>
    <w:family w:val="moder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roman"/>
    <w:pitch w:val="default"/>
    <w:sig w:usb0="00000000" w:usb1="00000000" w:usb2="0000003F" w:usb3="00000000" w:csb0="003F01FF" w:csb1="00000000"/>
  </w:font>
  <w:font w:name="WenQuanYi Micro Hei">
    <w:altName w:val="Times New Roman"/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Arial">
    <w:panose1 w:val="020B0604020202020204"/>
    <w:charset w:val="80"/>
    <w:family w:val="roman"/>
    <w:pitch w:val="default"/>
    <w:sig w:usb0="E0002EFF" w:usb1="C000785B" w:usb2="00000009" w:usb3="00000000" w:csb0="400001FF" w:csb1="FFFF0000"/>
  </w:font>
  <w:font w:name="Lohit Hindi">
    <w:altName w:val="Times New Roman"/>
    <w:panose1 w:val="020B0604020202020204"/>
    <w:charset w:val="00"/>
    <w:family w:val="swiss"/>
    <w:pitch w:val="default"/>
    <w:sig w:usb0="00000000" w:usb1="00000000" w:usb2="00000000" w:usb3="00000000" w:csb0="00040001" w:csb1="00000000"/>
  </w:font>
  <w:font w:name="Liberation Sans">
    <w:altName w:val="Arial"/>
    <w:panose1 w:val="020B0604020202020204"/>
    <w:charset w:val="EE"/>
    <w:family w:val="roman"/>
    <w:pitch w:val="default"/>
    <w:sig w:usb0="00000000" w:usb1="00000000" w:usb2="00000021" w:usb3="00000000" w:csb0="000001BF" w:csb1="00000000"/>
  </w:font>
  <w:font w:name="Courier New">
    <w:panose1 w:val="02070309020205020404"/>
    <w:charset w:val="EE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EE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EE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EE"/>
    <w:family w:val="roman"/>
    <w:pitch w:val="default"/>
    <w:sig w:usb0="E0002EFF" w:usb1="C000785B" w:usb2="00000009" w:usb3="00000000" w:csb0="400001FF" w:csb1="FFFF0000"/>
  </w:font>
  <w:font w:name="Courier New">
    <w:panose1 w:val="02070309020205020404"/>
    <w:charset w:val="EE"/>
    <w:family w:val="swiss"/>
    <w:pitch w:val="default"/>
    <w:sig w:usb0="E0002EFF" w:usb1="C0007843" w:usb2="00000009" w:usb3="00000000" w:csb0="400001FF" w:csb1="FFFF0000"/>
  </w:font>
  <w:font w:name="Tahoma">
    <w:panose1 w:val="020B0604030504040204"/>
    <w:charset w:val="EE"/>
    <w:family w:val="decorative"/>
    <w:pitch w:val="default"/>
    <w:sig w:usb0="E1002EFF" w:usb1="C000605B" w:usb2="00000029" w:usb3="00000000" w:csb0="200101FF" w:csb1="20280000"/>
  </w:font>
  <w:font w:name="Cambria">
    <w:panose1 w:val="02040503050406030204"/>
    <w:charset w:val="EE"/>
    <w:family w:val="modern"/>
    <w:pitch w:val="default"/>
    <w:sig w:usb0="E00006FF" w:usb1="420024FF" w:usb2="02000000" w:usb3="00000000" w:csb0="2000019F" w:csb1="00000000"/>
  </w:font>
  <w:font w:name="Courier New">
    <w:panose1 w:val="02070309020205020404"/>
    <w:charset w:val="EE"/>
    <w:family w:val="decorative"/>
    <w:pitch w:val="default"/>
    <w:sig w:usb0="E0002EFF" w:usb1="C0007843" w:usb2="00000009" w:usb3="00000000" w:csb0="400001FF" w:csb1="FFFF0000"/>
  </w:font>
  <w:font w:name="Tahoma">
    <w:panose1 w:val="020B0604030504040204"/>
    <w:charset w:val="EE"/>
    <w:family w:val="roman"/>
    <w:pitch w:val="default"/>
    <w:sig w:usb0="E1002EFF" w:usb1="C000605B" w:usb2="00000029" w:usb3="00000000" w:csb0="200101FF" w:csb1="20280000"/>
  </w:font>
  <w:font w:name="Cambria">
    <w:panose1 w:val="02040503050406030204"/>
    <w:charset w:val="EE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EE"/>
    <w:family w:val="roman"/>
    <w:pitch w:val="default"/>
    <w:sig w:usb0="E4002EFF" w:usb1="C000247B" w:usb2="00000009" w:usb3="00000000" w:csb0="200001FF" w:csb1="00000000"/>
  </w:font>
  <w:font w:name="Courier New">
    <w:panose1 w:val="02070309020205020404"/>
    <w:charset w:val="EE"/>
    <w:family w:val="roman"/>
    <w:pitch w:val="default"/>
    <w:sig w:usb0="E0002EFF" w:usb1="C0007843" w:usb2="00000009" w:usb3="00000000" w:csb0="400001FF" w:csb1="FFFF0000"/>
  </w:font>
  <w:font w:name="Tahoma">
    <w:panose1 w:val="020B0604030504040204"/>
    <w:charset w:val="EE"/>
    <w:family w:val="modern"/>
    <w:pitch w:val="default"/>
    <w:sig w:usb0="E1002EFF" w:usb1="C000605B" w:usb2="00000029" w:usb3="00000000" w:csb0="200101FF" w:csb1="20280000"/>
  </w:font>
  <w:font w:name="Cambria">
    <w:panose1 w:val="02040503050406030204"/>
    <w:charset w:val="EE"/>
    <w:family w:val="decorative"/>
    <w:pitch w:val="default"/>
    <w:sig w:usb0="E00006FF" w:usb1="420024FF" w:usb2="02000000" w:usb3="00000000" w:csb0="2000019F" w:csb1="00000000"/>
  </w:font>
  <w:font w:name="Calibri">
    <w:panose1 w:val="020F0502020204030204"/>
    <w:charset w:val="EE"/>
    <w:family w:val="modern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13"/>
    </w:pPr>
  </w:p>
  <w:p>
    <w:pPr>
      <w:pStyle w:val="1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1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14"/>
    </w:pPr>
  </w:p>
  <w:p>
    <w:pPr>
      <w:pStyle w:val="14"/>
      <w:tabs>
        <w:tab w:val="left" w:pos="1515"/>
        <w:tab w:val="clear" w:pos="4680"/>
        <w:tab w:val="clear" w:pos="9360"/>
      </w:tabs>
    </w:pPr>
  </w:p>
  <w:p>
    <w:pPr>
      <w:pStyle w:val="14"/>
    </w:pPr>
  </w:p>
  <w:p>
    <w:pPr>
      <w:pStyle w:val="1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1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1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986595844">
    <w:nsid w:val="3ACE4204"/>
    <w:multiLevelType w:val="multilevel"/>
    <w:tmpl w:val="3ACE4204"/>
    <w:lvl w:ilvl="0" w:tentative="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09496744">
    <w:nsid w:val="540336A8"/>
    <w:multiLevelType w:val="multilevel"/>
    <w:tmpl w:val="540336A8"/>
    <w:lvl w:ilvl="0" w:tentative="1">
      <w:start w:val="1"/>
      <w:numFmt w:val="decimal"/>
      <w:pStyle w:val="2"/>
      <w:lvlText w:val="%1"/>
      <w:lvlJc w:val="left"/>
      <w:pPr>
        <w:ind w:left="432" w:hanging="432"/>
      </w:pPr>
      <w:rPr>
        <w:rFonts w:hint="default"/>
      </w:rPr>
    </w:lvl>
    <w:lvl w:ilvl="1" w:tentative="1">
      <w:start w:val="1"/>
      <w:numFmt w:val="decimal"/>
      <w:pStyle w:val="3"/>
      <w:lvlText w:val="%1.%2"/>
      <w:lvlJc w:val="left"/>
      <w:pPr>
        <w:ind w:left="1002" w:hanging="576"/>
      </w:pPr>
      <w:rPr>
        <w:color w:val="auto"/>
        <w:sz w:val="24"/>
        <w:szCs w:val="24"/>
      </w:rPr>
    </w:lvl>
    <w:lvl w:ilvl="2" w:tentative="1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1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1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1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1">
      <w:start w:val="1"/>
      <w:numFmt w:val="decimal"/>
      <w:pStyle w:val="8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9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10"/>
      <w:lvlText w:val="%1.%2.%3.%4.%5.%6.%7.%8.%9"/>
      <w:lvlJc w:val="left"/>
      <w:pPr>
        <w:ind w:left="1584" w:hanging="1584"/>
      </w:pPr>
    </w:lvl>
  </w:abstractNum>
  <w:num w:numId="1">
    <w:abstractNumId w:val="1409496744"/>
  </w:num>
  <w:num w:numId="2">
    <w:abstractNumId w:val="9865958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documentProtection w:enforcement="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505"/>
    <w:rsid w:val="00052B4A"/>
    <w:rsid w:val="00067177"/>
    <w:rsid w:val="000778EC"/>
    <w:rsid w:val="00081D3E"/>
    <w:rsid w:val="000E1CFF"/>
    <w:rsid w:val="00134F5F"/>
    <w:rsid w:val="00141700"/>
    <w:rsid w:val="0017431E"/>
    <w:rsid w:val="00226E59"/>
    <w:rsid w:val="002751C2"/>
    <w:rsid w:val="002F336F"/>
    <w:rsid w:val="0030749A"/>
    <w:rsid w:val="00325454"/>
    <w:rsid w:val="00376C14"/>
    <w:rsid w:val="0038605F"/>
    <w:rsid w:val="003875F6"/>
    <w:rsid w:val="003B2A98"/>
    <w:rsid w:val="003C222F"/>
    <w:rsid w:val="00403B1F"/>
    <w:rsid w:val="00422DBA"/>
    <w:rsid w:val="00457718"/>
    <w:rsid w:val="00486D06"/>
    <w:rsid w:val="00495E0D"/>
    <w:rsid w:val="004B04CF"/>
    <w:rsid w:val="004C5683"/>
    <w:rsid w:val="004E587B"/>
    <w:rsid w:val="005031BA"/>
    <w:rsid w:val="00533F92"/>
    <w:rsid w:val="005B3B66"/>
    <w:rsid w:val="005C243D"/>
    <w:rsid w:val="005C7961"/>
    <w:rsid w:val="005E540D"/>
    <w:rsid w:val="00685A84"/>
    <w:rsid w:val="00694A58"/>
    <w:rsid w:val="006F3247"/>
    <w:rsid w:val="006F4F6C"/>
    <w:rsid w:val="00701DC0"/>
    <w:rsid w:val="00711285"/>
    <w:rsid w:val="00713537"/>
    <w:rsid w:val="007429C8"/>
    <w:rsid w:val="00770D12"/>
    <w:rsid w:val="00772505"/>
    <w:rsid w:val="0078159A"/>
    <w:rsid w:val="007A27E7"/>
    <w:rsid w:val="007A2BFB"/>
    <w:rsid w:val="007D2EDA"/>
    <w:rsid w:val="00814070"/>
    <w:rsid w:val="008619A1"/>
    <w:rsid w:val="0087160F"/>
    <w:rsid w:val="008A251C"/>
    <w:rsid w:val="008D58BF"/>
    <w:rsid w:val="00955A53"/>
    <w:rsid w:val="009708F0"/>
    <w:rsid w:val="009F587D"/>
    <w:rsid w:val="00A07F7C"/>
    <w:rsid w:val="00A300A8"/>
    <w:rsid w:val="00A56940"/>
    <w:rsid w:val="00AF4D7C"/>
    <w:rsid w:val="00B27A6E"/>
    <w:rsid w:val="00B41C8F"/>
    <w:rsid w:val="00B6402D"/>
    <w:rsid w:val="00B8224B"/>
    <w:rsid w:val="00BA1729"/>
    <w:rsid w:val="00BC09A9"/>
    <w:rsid w:val="00BF0D08"/>
    <w:rsid w:val="00BF0F9F"/>
    <w:rsid w:val="00C6787C"/>
    <w:rsid w:val="00C72AAE"/>
    <w:rsid w:val="00CE3282"/>
    <w:rsid w:val="00D008EA"/>
    <w:rsid w:val="00D21251"/>
    <w:rsid w:val="00D44EBD"/>
    <w:rsid w:val="00D53782"/>
    <w:rsid w:val="00D562C4"/>
    <w:rsid w:val="00D82521"/>
    <w:rsid w:val="00DB0228"/>
    <w:rsid w:val="00E008E3"/>
    <w:rsid w:val="00E65A01"/>
    <w:rsid w:val="00E81CDA"/>
    <w:rsid w:val="00E973E2"/>
    <w:rsid w:val="00EA0A83"/>
    <w:rsid w:val="00EC213E"/>
    <w:rsid w:val="00F6383C"/>
    <w:rsid w:val="00F65AEF"/>
    <w:rsid w:val="143B668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after="0" w:line="240" w:lineRule="auto"/>
      <w:jc w:val="both"/>
    </w:pPr>
    <w:rPr>
      <w:rFonts w:ascii="Times New Roman" w:hAnsi="Times New Roman" w:eastAsiaTheme="minorEastAsia" w:cstheme="minorBidi"/>
      <w:sz w:val="20"/>
      <w:szCs w:val="24"/>
      <w:lang w:val="ru-RU" w:eastAsia="ja-JP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numPr>
        <w:ilvl w:val="0"/>
        <w:numId w:val="1"/>
      </w:numPr>
      <w:spacing w:before="360" w:after="240"/>
      <w:outlineLvl w:val="0"/>
    </w:pPr>
    <w:rPr>
      <w:rFonts w:asciiTheme="majorHAnsi" w:hAnsiTheme="majorHAnsi" w:eastAsiaTheme="majorEastAsia" w:cstheme="majorBidi"/>
      <w:b/>
      <w:bCs/>
      <w:sz w:val="24"/>
      <w:szCs w:val="28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framePr w:wrap="notBeside" w:vAnchor="text" w:hAnchor="text" w:y="1"/>
      <w:numPr>
        <w:ilvl w:val="1"/>
        <w:numId w:val="1"/>
      </w:numPr>
      <w:spacing w:before="240"/>
      <w:ind w:left="576"/>
      <w:outlineLvl w:val="1"/>
    </w:pPr>
    <w:rPr>
      <w:rFonts w:asciiTheme="majorHAnsi" w:hAnsiTheme="majorHAnsi" w:eastAsiaTheme="majorEastAsia" w:cstheme="majorBidi"/>
      <w:b/>
      <w:sz w:val="22"/>
      <w:szCs w:val="26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numPr>
        <w:ilvl w:val="2"/>
        <w:numId w:val="1"/>
      </w:numPr>
      <w:spacing w:before="120" w:after="120"/>
      <w:outlineLvl w:val="2"/>
    </w:pPr>
    <w:rPr>
      <w:rFonts w:asciiTheme="majorHAnsi" w:hAnsiTheme="majorHAnsi" w:eastAsiaTheme="majorEastAsia" w:cstheme="majorBidi"/>
      <w:b/>
      <w:bCs/>
      <w:sz w:val="22"/>
    </w:rPr>
  </w:style>
  <w:style w:type="paragraph" w:styleId="5">
    <w:name w:val="heading 4"/>
    <w:basedOn w:val="1"/>
    <w:next w:val="1"/>
    <w:link w:val="22"/>
    <w:unhideWhenUsed/>
    <w:qFormat/>
    <w:uiPriority w:val="9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5"/>
    <w:basedOn w:val="1"/>
    <w:next w:val="1"/>
    <w:link w:val="23"/>
    <w:unhideWhenUsed/>
    <w:qFormat/>
    <w:uiPriority w:val="9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7">
    <w:name w:val="heading 6"/>
    <w:basedOn w:val="1"/>
    <w:next w:val="1"/>
    <w:link w:val="24"/>
    <w:unhideWhenUsed/>
    <w:qFormat/>
    <w:uiPriority w:val="9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8">
    <w:name w:val="heading 7"/>
    <w:basedOn w:val="1"/>
    <w:next w:val="1"/>
    <w:link w:val="25"/>
    <w:unhideWhenUsed/>
    <w:qFormat/>
    <w:uiPriority w:val="9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9">
    <w:name w:val="heading 8"/>
    <w:basedOn w:val="1"/>
    <w:next w:val="1"/>
    <w:link w:val="26"/>
    <w:unhideWhenUsed/>
    <w:qFormat/>
    <w:uiPriority w:val="9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hAnsiTheme="majorHAnsi" w:eastAsiaTheme="majorEastAsia" w:cstheme="majorBidi"/>
      <w:color w:val="4F81BD" w:themeColor="accent1"/>
      <w:szCs w:val="20"/>
      <w14:textFill>
        <w14:solidFill>
          <w14:schemeClr w14:val="accent1"/>
        </w14:solidFill>
      </w14:textFill>
    </w:rPr>
  </w:style>
  <w:style w:type="paragraph" w:styleId="10">
    <w:name w:val="heading 9"/>
    <w:basedOn w:val="1"/>
    <w:next w:val="1"/>
    <w:link w:val="27"/>
    <w:unhideWhenUsed/>
    <w:qFormat/>
    <w:uiPriority w:val="9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5">
    <w:name w:val="Default Paragraph Font"/>
    <w:unhideWhenUsed/>
    <w:uiPriority w:val="1"/>
  </w:style>
  <w:style w:type="table" w:default="1" w:styleId="1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31"/>
    <w:unhideWhenUsed/>
    <w:qFormat/>
    <w:uiPriority w:val="99"/>
    <w:rPr>
      <w:rFonts w:ascii="Tahoma" w:hAnsi="Tahoma" w:cs="Tahoma"/>
      <w:sz w:val="16"/>
      <w:szCs w:val="16"/>
    </w:rPr>
  </w:style>
  <w:style w:type="paragraph" w:styleId="12">
    <w:name w:val="Body Text"/>
    <w:basedOn w:val="1"/>
    <w:link w:val="30"/>
    <w:uiPriority w:val="0"/>
    <w:pPr>
      <w:jc w:val="left"/>
    </w:pPr>
    <w:rPr>
      <w:rFonts w:eastAsia="Times New Roman" w:cs="Times New Roman"/>
      <w:sz w:val="24"/>
      <w:szCs w:val="20"/>
      <w:lang w:val="sr-Cyrl-CS" w:eastAsia="en-GB"/>
    </w:rPr>
  </w:style>
  <w:style w:type="paragraph" w:styleId="13">
    <w:name w:val="footer"/>
    <w:basedOn w:val="1"/>
    <w:link w:val="29"/>
    <w:uiPriority w:val="99"/>
    <w:pPr>
      <w:tabs>
        <w:tab w:val="center" w:pos="4680"/>
        <w:tab w:val="right" w:pos="9360"/>
      </w:tabs>
    </w:pPr>
  </w:style>
  <w:style w:type="paragraph" w:styleId="14">
    <w:name w:val="header"/>
    <w:basedOn w:val="1"/>
    <w:link w:val="28"/>
    <w:uiPriority w:val="99"/>
    <w:pPr>
      <w:tabs>
        <w:tab w:val="center" w:pos="4680"/>
        <w:tab w:val="right" w:pos="9360"/>
      </w:tabs>
    </w:pPr>
  </w:style>
  <w:style w:type="paragraph" w:customStyle="1" w:styleId="17">
    <w:name w:val="List Paragraph"/>
    <w:basedOn w:val="1"/>
    <w:link w:val="18"/>
    <w:qFormat/>
    <w:uiPriority w:val="0"/>
    <w:pPr>
      <w:ind w:left="720"/>
      <w:contextualSpacing/>
    </w:pPr>
  </w:style>
  <w:style w:type="character" w:customStyle="1" w:styleId="18">
    <w:name w:val="List Paragraph Char"/>
    <w:link w:val="17"/>
    <w:locked/>
    <w:uiPriority w:val="0"/>
    <w:rPr>
      <w:rFonts w:ascii="Times New Roman" w:hAnsi="Times New Roman" w:eastAsiaTheme="minorEastAsia"/>
      <w:sz w:val="20"/>
      <w:szCs w:val="24"/>
      <w:lang w:val="ru-RU" w:eastAsia="ja-JP"/>
    </w:rPr>
  </w:style>
  <w:style w:type="character" w:customStyle="1" w:styleId="19">
    <w:name w:val="Heading 1 Char"/>
    <w:basedOn w:val="15"/>
    <w:link w:val="2"/>
    <w:qFormat/>
    <w:uiPriority w:val="9"/>
    <w:rPr>
      <w:rFonts w:asciiTheme="majorHAnsi" w:hAnsiTheme="majorHAnsi" w:eastAsiaTheme="majorEastAsia" w:cstheme="majorBidi"/>
      <w:b/>
      <w:bCs/>
      <w:sz w:val="24"/>
      <w:szCs w:val="28"/>
      <w:lang w:val="ru-RU" w:eastAsia="ja-JP"/>
    </w:rPr>
  </w:style>
  <w:style w:type="character" w:customStyle="1" w:styleId="20">
    <w:name w:val="Heading 2 Char"/>
    <w:basedOn w:val="15"/>
    <w:link w:val="3"/>
    <w:uiPriority w:val="9"/>
    <w:rPr>
      <w:rFonts w:asciiTheme="majorHAnsi" w:hAnsiTheme="majorHAnsi" w:eastAsiaTheme="majorEastAsia" w:cstheme="majorBidi"/>
      <w:b/>
      <w:szCs w:val="26"/>
      <w:lang w:val="ru-RU" w:eastAsia="ja-JP"/>
    </w:rPr>
  </w:style>
  <w:style w:type="character" w:customStyle="1" w:styleId="21">
    <w:name w:val="Heading 3 Char"/>
    <w:basedOn w:val="15"/>
    <w:link w:val="4"/>
    <w:uiPriority w:val="9"/>
    <w:rPr>
      <w:rFonts w:asciiTheme="majorHAnsi" w:hAnsiTheme="majorHAnsi" w:eastAsiaTheme="majorEastAsia" w:cstheme="majorBidi"/>
      <w:b/>
      <w:bCs/>
      <w:szCs w:val="24"/>
      <w:lang w:val="ru-RU" w:eastAsia="ja-JP"/>
    </w:rPr>
  </w:style>
  <w:style w:type="character" w:customStyle="1" w:styleId="22">
    <w:name w:val="Heading 4 Char"/>
    <w:basedOn w:val="15"/>
    <w:link w:val="5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:sz w:val="20"/>
      <w:szCs w:val="24"/>
      <w:lang w:val="ru-RU" w:eastAsia="ja-JP"/>
      <w14:textFill>
        <w14:solidFill>
          <w14:schemeClr w14:val="accent1"/>
        </w14:solidFill>
      </w14:textFill>
    </w:rPr>
  </w:style>
  <w:style w:type="character" w:customStyle="1" w:styleId="23">
    <w:name w:val="Heading 5 Char"/>
    <w:basedOn w:val="15"/>
    <w:link w:val="6"/>
    <w:semiHidden/>
    <w:uiPriority w:val="9"/>
    <w:rPr>
      <w:rFonts w:asciiTheme="majorHAnsi" w:hAnsiTheme="majorHAnsi" w:eastAsiaTheme="majorEastAsia" w:cstheme="majorBidi"/>
      <w:color w:val="254061" w:themeColor="accent1" w:themeShade="80"/>
      <w:sz w:val="20"/>
      <w:szCs w:val="24"/>
      <w:lang w:val="ru-RU" w:eastAsia="ja-JP"/>
    </w:rPr>
  </w:style>
  <w:style w:type="character" w:customStyle="1" w:styleId="24">
    <w:name w:val="Heading 6 Char"/>
    <w:basedOn w:val="15"/>
    <w:link w:val="7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  <w:sz w:val="20"/>
      <w:szCs w:val="24"/>
      <w:lang w:val="ru-RU" w:eastAsia="ja-JP"/>
    </w:rPr>
  </w:style>
  <w:style w:type="character" w:customStyle="1" w:styleId="25">
    <w:name w:val="Heading 7 Char"/>
    <w:basedOn w:val="15"/>
    <w:link w:val="8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4"/>
      <w:lang w:val="ru-RU" w:eastAsia="ja-JP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6">
    <w:name w:val="Heading 8 Char"/>
    <w:basedOn w:val="15"/>
    <w:link w:val="9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:lang w:val="ru-RU" w:eastAsia="ja-JP"/>
      <w14:textFill>
        <w14:solidFill>
          <w14:schemeClr w14:val="accent1"/>
        </w14:solidFill>
      </w14:textFill>
    </w:rPr>
  </w:style>
  <w:style w:type="character" w:customStyle="1" w:styleId="27">
    <w:name w:val="Heading 9 Char"/>
    <w:basedOn w:val="15"/>
    <w:link w:val="10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:lang w:val="ru-RU" w:eastAsia="ja-JP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">
    <w:name w:val="Header Char"/>
    <w:basedOn w:val="15"/>
    <w:link w:val="14"/>
    <w:uiPriority w:val="99"/>
    <w:rPr>
      <w:rFonts w:ascii="Times New Roman" w:hAnsi="Times New Roman" w:eastAsiaTheme="minorEastAsia"/>
      <w:sz w:val="20"/>
      <w:szCs w:val="24"/>
      <w:lang w:val="ru-RU" w:eastAsia="ja-JP"/>
    </w:rPr>
  </w:style>
  <w:style w:type="character" w:customStyle="1" w:styleId="29">
    <w:name w:val="Footer Char"/>
    <w:basedOn w:val="15"/>
    <w:link w:val="13"/>
    <w:uiPriority w:val="99"/>
    <w:rPr>
      <w:rFonts w:ascii="Times New Roman" w:hAnsi="Times New Roman" w:eastAsiaTheme="minorEastAsia"/>
      <w:sz w:val="20"/>
      <w:szCs w:val="24"/>
      <w:lang w:val="ru-RU" w:eastAsia="ja-JP"/>
    </w:rPr>
  </w:style>
  <w:style w:type="character" w:customStyle="1" w:styleId="30">
    <w:name w:val="Body Text Char"/>
    <w:basedOn w:val="15"/>
    <w:link w:val="12"/>
    <w:uiPriority w:val="0"/>
    <w:rPr>
      <w:rFonts w:ascii="Times New Roman" w:hAnsi="Times New Roman" w:eastAsia="Times New Roman" w:cs="Times New Roman"/>
      <w:sz w:val="24"/>
      <w:szCs w:val="20"/>
      <w:lang w:val="sr-Cyrl-CS" w:eastAsia="en-GB"/>
    </w:rPr>
  </w:style>
  <w:style w:type="character" w:customStyle="1" w:styleId="31">
    <w:name w:val="Balloon Text Char"/>
    <w:basedOn w:val="15"/>
    <w:link w:val="11"/>
    <w:semiHidden/>
    <w:uiPriority w:val="99"/>
    <w:rPr>
      <w:rFonts w:ascii="Tahoma" w:hAnsi="Tahoma" w:cs="Tahoma" w:eastAsiaTheme="minorEastAsia"/>
      <w:sz w:val="16"/>
      <w:szCs w:val="16"/>
      <w:lang w:val="ru-RU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452</Words>
  <Characters>2582</Characters>
  <Lines>21</Lines>
  <Paragraphs>6</Paragraphs>
  <TotalTime>0</TotalTime>
  <ScaleCrop>false</ScaleCrop>
  <LinksUpToDate>false</LinksUpToDate>
  <CharactersWithSpaces>3028</CharactersWithSpaces>
  <Application>WPS Office_10.1.0.5452_F1E327BC-269C-435d-A152-05C5408002CA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2016-09-09T08:43:00Z</dcterms:created>
  <dc:creator>Jelena Petrović</dc:creator>
  <cp:lastModifiedBy>User</cp:lastModifiedBy>
  <dcterms:modified xsi:type="dcterms:W3CDTF">2022-02-08T11:09:23Z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2057-10.1.0.5452</vt:lpwstr>
  </property>
</Properties>
</file>